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1A2" w:rsidRDefault="00E13B4E">
      <w:pPr>
        <w:spacing w:after="200" w:line="276" w:lineRule="auto"/>
        <w:ind w:right="-162"/>
        <w:jc w:val="center"/>
      </w:pPr>
      <w:r>
        <w:rPr>
          <w:noProof/>
        </w:rPr>
        <w:drawing>
          <wp:inline distT="0" distB="0" distL="0" distR="0">
            <wp:extent cx="841375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84137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61A2" w:rsidRDefault="00E13B4E">
      <w:pPr>
        <w:jc w:val="center"/>
        <w:outlineLvl w:val="0"/>
      </w:pPr>
      <w:r>
        <w:rPr>
          <w:b/>
          <w:bCs/>
          <w:sz w:val="28"/>
          <w:szCs w:val="28"/>
          <w:lang w:eastAsia="en-US"/>
        </w:rPr>
        <w:t>ДЕПАРТАМЕНТ ПРОМЫШЛЕННОСТИ</w:t>
      </w:r>
    </w:p>
    <w:p w:rsidR="00D161A2" w:rsidRDefault="00E13B4E">
      <w:pPr>
        <w:keepNext/>
        <w:jc w:val="center"/>
        <w:outlineLvl w:val="0"/>
      </w:pPr>
      <w:r>
        <w:rPr>
          <w:b/>
          <w:bCs/>
          <w:sz w:val="28"/>
          <w:szCs w:val="28"/>
          <w:lang w:eastAsia="en-US"/>
        </w:rPr>
        <w:t>ХАНТЫ-МАНСИЙСКОГО АВТОНОМНОГО ОКРУГА – ЮГРЫ</w:t>
      </w:r>
    </w:p>
    <w:p w:rsidR="00D161A2" w:rsidRDefault="00E13B4E">
      <w:pPr>
        <w:keepNext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(ДЕППРОМЫШЛЕННОСТИ ЮГРЫ)</w:t>
      </w:r>
    </w:p>
    <w:p w:rsidR="00D161A2" w:rsidRDefault="00D161A2">
      <w:pPr>
        <w:spacing w:before="120"/>
        <w:jc w:val="center"/>
        <w:rPr>
          <w:b/>
          <w:sz w:val="28"/>
          <w:szCs w:val="28"/>
        </w:rPr>
      </w:pPr>
    </w:p>
    <w:p w:rsidR="00D161A2" w:rsidRDefault="00E13B4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ПРИКАЗ</w:t>
      </w:r>
    </w:p>
    <w:p w:rsidR="00D161A2" w:rsidRDefault="00D161A2">
      <w:pPr>
        <w:jc w:val="center"/>
        <w:rPr>
          <w:sz w:val="28"/>
          <w:szCs w:val="28"/>
        </w:rPr>
      </w:pPr>
    </w:p>
    <w:p w:rsidR="00D161A2" w:rsidRDefault="00E13B4E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О предоставлении на 2024 год водных биологических ресурсов, общие допустимые уловы которых не устанавливаются, в пользование для осуществления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 в Ханты-Мансийском автономном округе – Югре</w:t>
      </w:r>
    </w:p>
    <w:p w:rsidR="00D161A2" w:rsidRDefault="00D161A2">
      <w:pPr>
        <w:jc w:val="center"/>
        <w:rPr>
          <w:sz w:val="28"/>
          <w:szCs w:val="28"/>
        </w:rPr>
      </w:pPr>
    </w:p>
    <w:p w:rsidR="00D161A2" w:rsidRDefault="00E13B4E">
      <w:pPr>
        <w:jc w:val="center"/>
        <w:rPr>
          <w:sz w:val="28"/>
          <w:szCs w:val="28"/>
        </w:rPr>
      </w:pPr>
      <w:r>
        <w:rPr>
          <w:sz w:val="28"/>
          <w:szCs w:val="28"/>
        </w:rPr>
        <w:t>г. Ханты-Мансийск</w:t>
      </w:r>
    </w:p>
    <w:p w:rsidR="00D161A2" w:rsidRDefault="00D161A2">
      <w:pPr>
        <w:jc w:val="center"/>
        <w:rPr>
          <w:sz w:val="28"/>
          <w:szCs w:val="28"/>
        </w:rPr>
      </w:pPr>
    </w:p>
    <w:p w:rsidR="00D161A2" w:rsidRDefault="00E13B4E">
      <w:pPr>
        <w:jc w:val="both"/>
      </w:pPr>
      <w:r>
        <w:rPr>
          <w:rFonts w:eastAsia="Calibri"/>
          <w:color w:val="D9D9D9"/>
          <w:sz w:val="28"/>
          <w:szCs w:val="28"/>
        </w:rPr>
        <w:t>[Дата документа]</w:t>
      </w:r>
      <w:r>
        <w:rPr>
          <w:rFonts w:eastAsia="Calibri"/>
          <w:color w:val="D9D9D9"/>
          <w:sz w:val="28"/>
          <w:szCs w:val="28"/>
        </w:rPr>
        <w:tab/>
      </w:r>
      <w:r>
        <w:rPr>
          <w:rFonts w:eastAsia="Calibri"/>
          <w:color w:val="D9D9D9"/>
          <w:sz w:val="28"/>
          <w:szCs w:val="28"/>
        </w:rPr>
        <w:tab/>
      </w:r>
      <w:r>
        <w:rPr>
          <w:rFonts w:eastAsia="Calibri"/>
          <w:color w:val="D9D9D9"/>
          <w:sz w:val="28"/>
          <w:szCs w:val="28"/>
        </w:rPr>
        <w:tab/>
      </w:r>
      <w:r>
        <w:rPr>
          <w:rFonts w:eastAsia="Calibri"/>
          <w:color w:val="D9D9D9"/>
          <w:sz w:val="28"/>
          <w:szCs w:val="28"/>
        </w:rPr>
        <w:tab/>
      </w:r>
      <w:r>
        <w:rPr>
          <w:rFonts w:eastAsia="Calibri"/>
          <w:color w:val="D9D9D9"/>
          <w:sz w:val="28"/>
          <w:szCs w:val="28"/>
        </w:rPr>
        <w:tab/>
      </w:r>
      <w:r>
        <w:rPr>
          <w:rFonts w:eastAsia="Calibri"/>
          <w:color w:val="D9D9D9"/>
          <w:sz w:val="28"/>
          <w:szCs w:val="28"/>
        </w:rPr>
        <w:tab/>
      </w:r>
      <w:r>
        <w:rPr>
          <w:rFonts w:eastAsia="Calibri"/>
          <w:color w:val="D9D9D9"/>
          <w:sz w:val="28"/>
          <w:szCs w:val="28"/>
        </w:rPr>
        <w:tab/>
        <w:t>[Номер документа]</w:t>
      </w:r>
    </w:p>
    <w:p w:rsidR="00D161A2" w:rsidRDefault="00D161A2">
      <w:pPr>
        <w:jc w:val="both"/>
        <w:rPr>
          <w:sz w:val="28"/>
          <w:szCs w:val="28"/>
        </w:rPr>
      </w:pPr>
    </w:p>
    <w:p w:rsidR="00D161A2" w:rsidRDefault="00D161A2">
      <w:pPr>
        <w:spacing w:line="276" w:lineRule="auto"/>
        <w:ind w:firstLine="709"/>
        <w:jc w:val="both"/>
        <w:rPr>
          <w:sz w:val="28"/>
          <w:szCs w:val="28"/>
          <w:highlight w:val="white"/>
        </w:rPr>
      </w:pPr>
    </w:p>
    <w:p w:rsidR="00D161A2" w:rsidRDefault="00E13B4E">
      <w:pPr>
        <w:widowControl w:val="0"/>
        <w:shd w:val="clear" w:color="auto" w:fill="FFFFFF"/>
        <w:ind w:firstLine="709"/>
        <w:jc w:val="both"/>
        <w:rPr>
          <w:b/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>В соответствии  с подпунктом 4 пункта 1 статьи 33.2 Федерального закона от 20 декабря 2004 года № 166-ФЗ «О рыболовстве и сохранении водных биологических ресурсов», постановлением Правите</w:t>
      </w:r>
      <w:r w:rsidR="00723B8E">
        <w:rPr>
          <w:sz w:val="28"/>
          <w:szCs w:val="28"/>
        </w:rPr>
        <w:t xml:space="preserve">льства Российской Федерации от </w:t>
      </w:r>
      <w:r>
        <w:rPr>
          <w:sz w:val="28"/>
          <w:szCs w:val="28"/>
        </w:rPr>
        <w:t xml:space="preserve">15 октября 2008 года № 765 «О порядке подготовки и принятия решения о предоставлении водных биологических ресурсов» в целях обеспечения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Федерации, руководствуясь постановлением Правительства Ханты-Мансийского автономного округа </w:t>
      </w:r>
      <w:r w:rsidR="00723B8E">
        <w:rPr>
          <w:sz w:val="28"/>
          <w:szCs w:val="28"/>
        </w:rPr>
        <w:t>–</w:t>
      </w:r>
      <w:r>
        <w:rPr>
          <w:sz w:val="28"/>
          <w:szCs w:val="28"/>
        </w:rPr>
        <w:t xml:space="preserve"> Югры от 17.02.2023 № 62-п «О Департаменте промышленности Ханты-Мансийского автономного округа - Югры», на основании заявок о предоставлении водных биологических ресурсов в пользование для осуществления рыболовства в целях обеспечения традиционного образа жизни и осуществления традиционной хозяйственной деятельности коренных малочисленных народов Севера на 2024 год,</w:t>
      </w:r>
      <w:r>
        <w:rPr>
          <w:b/>
          <w:sz w:val="28"/>
          <w:szCs w:val="28"/>
        </w:rPr>
        <w:t xml:space="preserve">  </w:t>
      </w:r>
      <w:r>
        <w:rPr>
          <w:b/>
          <w:color w:val="000000"/>
          <w:spacing w:val="-1"/>
          <w:sz w:val="28"/>
          <w:szCs w:val="28"/>
        </w:rPr>
        <w:t>п р и к а з ы в а ю:</w:t>
      </w:r>
    </w:p>
    <w:p w:rsidR="00D161A2" w:rsidRDefault="00D161A2">
      <w:pPr>
        <w:widowControl w:val="0"/>
        <w:shd w:val="clear" w:color="auto" w:fill="FFFFFF"/>
        <w:ind w:firstLine="709"/>
        <w:jc w:val="both"/>
        <w:rPr>
          <w:b/>
          <w:color w:val="000000"/>
          <w:spacing w:val="-1"/>
          <w:sz w:val="28"/>
          <w:szCs w:val="28"/>
        </w:rPr>
      </w:pPr>
    </w:p>
    <w:p w:rsidR="00D161A2" w:rsidRDefault="00E13B4E">
      <w:pPr>
        <w:shd w:val="clear" w:color="auto" w:fill="FFFFFF"/>
        <w:spacing w:after="20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 Предоставить на 2024 год водные биологические ресурсы, общие допустимые уловы которых не устанавливаются, в пользование </w:t>
      </w:r>
      <w:r>
        <w:rPr>
          <w:rFonts w:eastAsia="Calibri"/>
          <w:bCs/>
          <w:sz w:val="28"/>
          <w:szCs w:val="28"/>
        </w:rPr>
        <w:t xml:space="preserve">для осуществления рыболовства в целях </w:t>
      </w:r>
      <w:r>
        <w:rPr>
          <w:rFonts w:eastAsia="Calibri"/>
          <w:sz w:val="28"/>
          <w:szCs w:val="28"/>
        </w:rPr>
        <w:t xml:space="preserve">обеспечения традиционного образа жизни и осуществления традиционной хозяйственной деятельности </w:t>
      </w:r>
      <w:r>
        <w:rPr>
          <w:rFonts w:eastAsia="Calibri"/>
          <w:sz w:val="28"/>
          <w:szCs w:val="28"/>
        </w:rPr>
        <w:lastRenderedPageBreak/>
        <w:t xml:space="preserve">коренных малочисленных народов Севера в Ханты-Мансийском автономном округе – Югре заявителям, в соответствии с приложениями </w:t>
      </w:r>
      <w:r>
        <w:rPr>
          <w:rFonts w:eastAsia="Calibri"/>
          <w:sz w:val="28"/>
          <w:szCs w:val="28"/>
        </w:rPr>
        <w:br/>
        <w:t xml:space="preserve">1-8 к настоящему приказу. </w:t>
      </w:r>
    </w:p>
    <w:p w:rsidR="00D161A2" w:rsidRDefault="00E13B4E">
      <w:pPr>
        <w:shd w:val="clear" w:color="auto" w:fill="FFFFFF"/>
        <w:spacing w:after="20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 Контроль за исполнением приказа возложить на начальника </w:t>
      </w:r>
      <w:r w:rsidR="00810CD4">
        <w:rPr>
          <w:rFonts w:eastAsia="Calibri"/>
          <w:sz w:val="28"/>
          <w:szCs w:val="28"/>
        </w:rPr>
        <w:t>У</w:t>
      </w:r>
      <w:r>
        <w:rPr>
          <w:rFonts w:eastAsia="Calibri"/>
          <w:sz w:val="28"/>
          <w:szCs w:val="28"/>
        </w:rPr>
        <w:t xml:space="preserve">правления агропромышленного комплекса Департамента промышленности Ханты-Мансийского автономного округа </w:t>
      </w:r>
      <w:r w:rsidR="00723B8E">
        <w:rPr>
          <w:rFonts w:eastAsia="Calibri"/>
          <w:sz w:val="28"/>
          <w:szCs w:val="28"/>
        </w:rPr>
        <w:t>–</w:t>
      </w:r>
      <w:r>
        <w:rPr>
          <w:rFonts w:eastAsia="Calibri"/>
          <w:sz w:val="28"/>
          <w:szCs w:val="28"/>
        </w:rPr>
        <w:t xml:space="preserve"> Югры.</w:t>
      </w:r>
    </w:p>
    <w:p w:rsidR="00D161A2" w:rsidRDefault="00D161A2">
      <w:pPr>
        <w:tabs>
          <w:tab w:val="left" w:pos="1250"/>
        </w:tabs>
        <w:ind w:firstLine="709"/>
        <w:jc w:val="both"/>
        <w:rPr>
          <w:sz w:val="28"/>
          <w:szCs w:val="28"/>
          <w:highlight w:val="white"/>
        </w:rPr>
      </w:pPr>
    </w:p>
    <w:p w:rsidR="00723B8E" w:rsidRDefault="00723B8E">
      <w:pPr>
        <w:tabs>
          <w:tab w:val="left" w:pos="1250"/>
        </w:tabs>
        <w:ind w:firstLine="709"/>
        <w:jc w:val="both"/>
        <w:rPr>
          <w:sz w:val="28"/>
          <w:szCs w:val="28"/>
          <w:highlight w:val="white"/>
        </w:rPr>
      </w:pPr>
    </w:p>
    <w:p w:rsidR="00D161A2" w:rsidRDefault="00D161A2">
      <w:pPr>
        <w:tabs>
          <w:tab w:val="left" w:pos="1250"/>
        </w:tabs>
        <w:spacing w:line="276" w:lineRule="auto"/>
        <w:ind w:firstLine="709"/>
        <w:jc w:val="both"/>
        <w:rPr>
          <w:sz w:val="28"/>
          <w:szCs w:val="28"/>
          <w:highlight w:val="white"/>
        </w:rPr>
      </w:pPr>
    </w:p>
    <w:tbl>
      <w:tblPr>
        <w:tblW w:w="907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06"/>
        <w:gridCol w:w="3450"/>
        <w:gridCol w:w="2416"/>
      </w:tblGrid>
      <w:tr w:rsidR="00D161A2">
        <w:trPr>
          <w:trHeight w:val="1443"/>
        </w:trPr>
        <w:tc>
          <w:tcPr>
            <w:tcW w:w="3206" w:type="dxa"/>
            <w:shd w:val="clear" w:color="auto" w:fill="auto"/>
          </w:tcPr>
          <w:p w:rsidR="00D161A2" w:rsidRDefault="00D161A2"/>
          <w:p w:rsidR="00D161A2" w:rsidRDefault="0095604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</w:t>
            </w:r>
            <w:bookmarkStart w:id="0" w:name="_GoBack"/>
            <w:bookmarkEnd w:id="0"/>
            <w:r w:rsidR="00E13B4E">
              <w:rPr>
                <w:sz w:val="28"/>
                <w:szCs w:val="28"/>
                <w:lang w:eastAsia="en-US"/>
              </w:rPr>
              <w:t xml:space="preserve"> директора </w:t>
            </w:r>
          </w:p>
          <w:p w:rsidR="00D161A2" w:rsidRDefault="00E13B4E">
            <w:r>
              <w:rPr>
                <w:sz w:val="28"/>
                <w:szCs w:val="28"/>
                <w:lang w:eastAsia="en-US"/>
              </w:rPr>
              <w:t>Департамента</w:t>
            </w:r>
          </w:p>
        </w:tc>
        <w:tc>
          <w:tcPr>
            <w:tcW w:w="3450" w:type="dxa"/>
            <w:shd w:val="clear" w:color="auto" w:fill="auto"/>
            <w:vAlign w:val="center"/>
          </w:tcPr>
          <w:p w:rsidR="00D161A2" w:rsidRDefault="00E13B4E">
            <w:pPr>
              <w:pStyle w:val="aff4"/>
              <w:jc w:val="center"/>
              <w:rPr>
                <w:b/>
                <w:color w:val="D9D9D9"/>
                <w:szCs w:val="20"/>
              </w:rPr>
            </w:pPr>
            <w:bookmarkStart w:id="1" w:name="EdsText"/>
            <w:r>
              <w:rPr>
                <w:b/>
                <w:color w:val="D9D9D9"/>
                <w:szCs w:val="20"/>
              </w:rPr>
              <w:t>ДОКУМЕНТ ПОДПИСАН</w:t>
            </w:r>
          </w:p>
          <w:p w:rsidR="00D161A2" w:rsidRDefault="00E13B4E">
            <w:pPr>
              <w:pStyle w:val="aff4"/>
              <w:jc w:val="center"/>
              <w:rPr>
                <w:b/>
                <w:color w:val="D9D9D9"/>
                <w:szCs w:val="20"/>
              </w:rPr>
            </w:pPr>
            <w:r>
              <w:rPr>
                <w:b/>
                <w:color w:val="D9D9D9"/>
                <w:szCs w:val="20"/>
              </w:rPr>
              <w:t>ЭЛЕКТРОННОЙ ПОДПИСЬЮ</w:t>
            </w:r>
          </w:p>
          <w:p w:rsidR="00D161A2" w:rsidRDefault="00D161A2">
            <w:pPr>
              <w:rPr>
                <w:rFonts w:ascii="Calibri" w:eastAsia="Calibri" w:hAnsi="Calibri"/>
                <w:color w:val="D9D9D9"/>
                <w:sz w:val="8"/>
                <w:szCs w:val="8"/>
                <w:lang w:eastAsia="en-US"/>
              </w:rPr>
            </w:pPr>
          </w:p>
          <w:p w:rsidR="00D161A2" w:rsidRDefault="00E13B4E">
            <w:pPr>
              <w:rPr>
                <w:rFonts w:ascii="Calibri" w:eastAsia="Calibri" w:hAnsi="Calibri"/>
                <w:color w:val="D9D9D9"/>
                <w:sz w:val="18"/>
                <w:szCs w:val="18"/>
                <w:lang w:eastAsia="en-US"/>
              </w:rPr>
            </w:pPr>
            <w:r>
              <w:rPr>
                <w:b/>
                <w:noProof/>
                <w:color w:val="D9D9D9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125730</wp:posOffset>
                  </wp:positionH>
                  <wp:positionV relativeFrom="paragraph">
                    <wp:posOffset>-374015</wp:posOffset>
                  </wp:positionV>
                  <wp:extent cx="353695" cy="316865"/>
                  <wp:effectExtent l="0" t="0" r="0" b="0"/>
                  <wp:wrapThrough wrapText="bothSides">
                    <wp:wrapPolygon edited="1">
                      <wp:start x="0" y="0"/>
                      <wp:lineTo x="0" y="20778"/>
                      <wp:lineTo x="20941" y="20778"/>
                      <wp:lineTo x="20941" y="0"/>
                      <wp:lineTo x="0" y="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353695" cy="316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libri" w:eastAsia="Calibri" w:hAnsi="Calibri"/>
                <w:color w:val="D9D9D9"/>
                <w:sz w:val="18"/>
                <w:szCs w:val="18"/>
                <w:lang w:eastAsia="en-US"/>
              </w:rPr>
              <w:t xml:space="preserve">       Сертификат  [Номер сертификата 1]</w:t>
            </w:r>
          </w:p>
          <w:p w:rsidR="00D161A2" w:rsidRDefault="00E13B4E">
            <w:pPr>
              <w:rPr>
                <w:rFonts w:ascii="Calibri" w:eastAsia="Calibri" w:hAnsi="Calibri"/>
                <w:color w:val="D9D9D9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color w:val="D9D9D9"/>
                <w:sz w:val="18"/>
                <w:szCs w:val="18"/>
                <w:lang w:eastAsia="en-US"/>
              </w:rPr>
              <w:t xml:space="preserve">      Владелец [Владелец сертификата 1]</w:t>
            </w:r>
          </w:p>
          <w:p w:rsidR="00D161A2" w:rsidRDefault="00E13B4E">
            <w:pPr>
              <w:pStyle w:val="aff4"/>
            </w:pPr>
            <w:r>
              <w:rPr>
                <w:color w:val="D9D9D9"/>
                <w:sz w:val="18"/>
                <w:szCs w:val="18"/>
              </w:rPr>
              <w:t xml:space="preserve">       Действителен с [ДатаС 1] по [ДатаПо 1]</w:t>
            </w:r>
            <w:bookmarkEnd w:id="1"/>
          </w:p>
        </w:tc>
        <w:tc>
          <w:tcPr>
            <w:tcW w:w="2416" w:type="dxa"/>
            <w:shd w:val="clear" w:color="auto" w:fill="auto"/>
          </w:tcPr>
          <w:p w:rsidR="00D161A2" w:rsidRDefault="00D161A2">
            <w:pPr>
              <w:jc w:val="right"/>
              <w:rPr>
                <w:sz w:val="28"/>
                <w:szCs w:val="28"/>
                <w:lang w:eastAsia="en-US"/>
              </w:rPr>
            </w:pPr>
          </w:p>
          <w:p w:rsidR="00D161A2" w:rsidRDefault="00E13B4E">
            <w:pPr>
              <w:jc w:val="right"/>
            </w:pPr>
            <w:r>
              <w:rPr>
                <w:sz w:val="28"/>
                <w:szCs w:val="28"/>
                <w:lang w:eastAsia="en-US"/>
              </w:rPr>
              <w:t>С.А. Наумов</w:t>
            </w:r>
          </w:p>
          <w:p w:rsidR="00D161A2" w:rsidRDefault="00D161A2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</w:tr>
    </w:tbl>
    <w:p w:rsidR="00D161A2" w:rsidRDefault="00D161A2">
      <w:pPr>
        <w:tabs>
          <w:tab w:val="left" w:pos="1440"/>
        </w:tabs>
        <w:jc w:val="right"/>
      </w:pPr>
    </w:p>
    <w:p w:rsidR="00D161A2" w:rsidRDefault="00D161A2">
      <w:pPr>
        <w:tabs>
          <w:tab w:val="left" w:pos="1440"/>
        </w:tabs>
        <w:jc w:val="right"/>
      </w:pPr>
    </w:p>
    <w:p w:rsidR="00D161A2" w:rsidRDefault="00D161A2">
      <w:pPr>
        <w:tabs>
          <w:tab w:val="left" w:pos="1440"/>
        </w:tabs>
        <w:jc w:val="right"/>
      </w:pPr>
    </w:p>
    <w:p w:rsidR="00D161A2" w:rsidRDefault="00D161A2">
      <w:pPr>
        <w:tabs>
          <w:tab w:val="left" w:pos="1440"/>
        </w:tabs>
        <w:jc w:val="right"/>
      </w:pPr>
    </w:p>
    <w:p w:rsidR="00D161A2" w:rsidRDefault="00D161A2">
      <w:pPr>
        <w:tabs>
          <w:tab w:val="left" w:pos="1440"/>
        </w:tabs>
        <w:jc w:val="right"/>
      </w:pPr>
    </w:p>
    <w:p w:rsidR="00D161A2" w:rsidRDefault="00E13B4E">
      <w:pPr>
        <w:tabs>
          <w:tab w:val="left" w:pos="1440"/>
        </w:tabs>
        <w:jc w:val="right"/>
      </w:pPr>
      <w:r>
        <w:tab/>
      </w:r>
    </w:p>
    <w:sectPr w:rsidR="00D161A2">
      <w:pgSz w:w="11906" w:h="16838"/>
      <w:pgMar w:top="1418" w:right="1276" w:bottom="1134" w:left="155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54C" w:rsidRDefault="0031754C">
      <w:r>
        <w:separator/>
      </w:r>
    </w:p>
  </w:endnote>
  <w:endnote w:type="continuationSeparator" w:id="0">
    <w:p w:rsidR="0031754C" w:rsidRDefault="00317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lbertus Extra Bold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54C" w:rsidRDefault="0031754C">
      <w:r>
        <w:separator/>
      </w:r>
    </w:p>
  </w:footnote>
  <w:footnote w:type="continuationSeparator" w:id="0">
    <w:p w:rsidR="0031754C" w:rsidRDefault="00317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B281A"/>
    <w:multiLevelType w:val="hybridMultilevel"/>
    <w:tmpl w:val="298E9678"/>
    <w:lvl w:ilvl="0" w:tplc="FFC244F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5EEF31A">
      <w:start w:val="1"/>
      <w:numFmt w:val="lowerLetter"/>
      <w:lvlText w:val="%2."/>
      <w:lvlJc w:val="left"/>
      <w:pPr>
        <w:ind w:left="1440" w:hanging="360"/>
      </w:pPr>
    </w:lvl>
    <w:lvl w:ilvl="2" w:tplc="E68643BE">
      <w:start w:val="1"/>
      <w:numFmt w:val="lowerRoman"/>
      <w:lvlText w:val="%3."/>
      <w:lvlJc w:val="right"/>
      <w:pPr>
        <w:ind w:left="2160" w:hanging="180"/>
      </w:pPr>
    </w:lvl>
    <w:lvl w:ilvl="3" w:tplc="1DBAE9DE">
      <w:start w:val="1"/>
      <w:numFmt w:val="decimal"/>
      <w:lvlText w:val="%4."/>
      <w:lvlJc w:val="left"/>
      <w:pPr>
        <w:ind w:left="2880" w:hanging="360"/>
      </w:pPr>
    </w:lvl>
    <w:lvl w:ilvl="4" w:tplc="A1585F2A">
      <w:start w:val="1"/>
      <w:numFmt w:val="lowerLetter"/>
      <w:lvlText w:val="%5."/>
      <w:lvlJc w:val="left"/>
      <w:pPr>
        <w:ind w:left="3600" w:hanging="360"/>
      </w:pPr>
    </w:lvl>
    <w:lvl w:ilvl="5" w:tplc="3EC20EFC">
      <w:start w:val="1"/>
      <w:numFmt w:val="lowerRoman"/>
      <w:lvlText w:val="%6."/>
      <w:lvlJc w:val="right"/>
      <w:pPr>
        <w:ind w:left="4320" w:hanging="180"/>
      </w:pPr>
    </w:lvl>
    <w:lvl w:ilvl="6" w:tplc="20D4F11A">
      <w:start w:val="1"/>
      <w:numFmt w:val="decimal"/>
      <w:lvlText w:val="%7."/>
      <w:lvlJc w:val="left"/>
      <w:pPr>
        <w:ind w:left="5040" w:hanging="360"/>
      </w:pPr>
    </w:lvl>
    <w:lvl w:ilvl="7" w:tplc="35B01ACE">
      <w:start w:val="1"/>
      <w:numFmt w:val="lowerLetter"/>
      <w:lvlText w:val="%8."/>
      <w:lvlJc w:val="left"/>
      <w:pPr>
        <w:ind w:left="5760" w:hanging="360"/>
      </w:pPr>
    </w:lvl>
    <w:lvl w:ilvl="8" w:tplc="B76C190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1A2"/>
    <w:rsid w:val="0031754C"/>
    <w:rsid w:val="00723B8E"/>
    <w:rsid w:val="00810CD4"/>
    <w:rsid w:val="0095604F"/>
    <w:rsid w:val="00D161A2"/>
    <w:rsid w:val="00E13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F5E49"/>
  <w15:docId w15:val="{109D41A5-2389-4F19-A3D6-F0E2F3D22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10"/>
    <w:uiPriority w:val="99"/>
    <w:unhideWhenUsed/>
    <w:pPr>
      <w:tabs>
        <w:tab w:val="center" w:pos="7143"/>
        <w:tab w:val="right" w:pos="14287"/>
      </w:tabs>
    </w:pPr>
  </w:style>
  <w:style w:type="character" w:customStyle="1" w:styleId="10">
    <w:name w:val="Верхний колонтитул Знак1"/>
    <w:basedOn w:val="a0"/>
    <w:link w:val="a9"/>
    <w:uiPriority w:val="99"/>
  </w:style>
  <w:style w:type="paragraph" w:styleId="aa">
    <w:name w:val="footer"/>
    <w:basedOn w:val="a"/>
    <w:link w:val="12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a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14"/>
    <w:uiPriority w:val="99"/>
    <w:semiHidden/>
    <w:unhideWhenUsed/>
    <w:pPr>
      <w:spacing w:after="40"/>
    </w:pPr>
    <w:rPr>
      <w:sz w:val="18"/>
    </w:rPr>
  </w:style>
  <w:style w:type="character" w:customStyle="1" w:styleId="14">
    <w:name w:val="Текст сноски Знак1"/>
    <w:link w:val="ac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customStyle="1" w:styleId="110">
    <w:name w:val="Заголовок 11"/>
    <w:basedOn w:val="a"/>
    <w:next w:val="a"/>
    <w:qFormat/>
    <w:pPr>
      <w:keepNext/>
      <w:jc w:val="right"/>
      <w:outlineLvl w:val="0"/>
    </w:pPr>
    <w:rPr>
      <w:b/>
      <w:i/>
      <w:sz w:val="24"/>
    </w:rPr>
  </w:style>
  <w:style w:type="character" w:customStyle="1" w:styleId="16">
    <w:name w:val="Заголовок 1 Знак"/>
    <w:basedOn w:val="a0"/>
    <w:link w:val="16"/>
    <w:qFormat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f3">
    <w:name w:val="Название Знак"/>
    <w:basedOn w:val="a0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af4">
    <w:name w:val="Текст выноски Знак"/>
    <w:basedOn w:val="a0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-">
    <w:name w:val="Интернет-ссылка"/>
    <w:basedOn w:val="a0"/>
    <w:uiPriority w:val="99"/>
    <w:unhideWhenUsed/>
    <w:rPr>
      <w:color w:val="0000FF" w:themeColor="hyperlink"/>
      <w:u w:val="single"/>
    </w:rPr>
  </w:style>
  <w:style w:type="character" w:customStyle="1" w:styleId="af5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7">
    <w:name w:val="Заголовок1 Знак"/>
    <w:basedOn w:val="a0"/>
    <w:link w:val="17"/>
    <w:qFormat/>
    <w:rPr>
      <w:rFonts w:ascii="Verdana" w:eastAsiaTheme="minorEastAsia" w:hAnsi="Verdana"/>
      <w:b/>
      <w:sz w:val="28"/>
      <w:szCs w:val="28"/>
      <w:lang w:eastAsia="ru-RU"/>
    </w:rPr>
  </w:style>
  <w:style w:type="character" w:customStyle="1" w:styleId="af7">
    <w:name w:val="дата место Знак"/>
    <w:basedOn w:val="a0"/>
    <w:qFormat/>
    <w:rPr>
      <w:rFonts w:ascii="Verdana" w:eastAsiaTheme="minorEastAsia" w:hAnsi="Verdana"/>
      <w:b/>
      <w:sz w:val="24"/>
      <w:szCs w:val="24"/>
      <w:lang w:eastAsia="ru-RU"/>
    </w:rPr>
  </w:style>
  <w:style w:type="character" w:customStyle="1" w:styleId="section-title2">
    <w:name w:val="section-title2"/>
    <w:basedOn w:val="a0"/>
    <w:qFormat/>
    <w:rPr>
      <w:b/>
      <w:bCs/>
      <w:vanish w:val="0"/>
      <w:color w:val="000000"/>
      <w:sz w:val="24"/>
      <w:szCs w:val="24"/>
    </w:rPr>
  </w:style>
  <w:style w:type="character" w:customStyle="1" w:styleId="FontStyle13">
    <w:name w:val="Font Style13"/>
    <w:qFormat/>
    <w:rPr>
      <w:rFonts w:ascii="Arial" w:eastAsia="Arial" w:hAnsi="Arial" w:cs="Arial"/>
      <w:sz w:val="20"/>
      <w:szCs w:val="20"/>
    </w:rPr>
  </w:style>
  <w:style w:type="character" w:customStyle="1" w:styleId="af8">
    <w:name w:val="Текст примечания Знак"/>
    <w:basedOn w:val="a0"/>
    <w:uiPriority w:val="99"/>
    <w:qFormat/>
    <w:rPr>
      <w:rFonts w:ascii="Times New Roman" w:eastAsia="Calibri" w:hAnsi="Times New Roman" w:cs="Times New Roman"/>
      <w:sz w:val="20"/>
      <w:szCs w:val="20"/>
    </w:rPr>
  </w:style>
  <w:style w:type="character" w:customStyle="1" w:styleId="af9">
    <w:name w:val="Тема примечания Знак"/>
    <w:basedOn w:val="af8"/>
    <w:uiPriority w:val="99"/>
    <w:semiHidden/>
    <w:qFormat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afa">
    <w:name w:val="Основной текст с отступом Знак"/>
    <w:basedOn w:val="a0"/>
    <w:qFormat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styleId="afb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c">
    <w:name w:val="Текст сноски Знак"/>
    <w:basedOn w:val="a0"/>
    <w:uiPriority w:val="99"/>
    <w:semiHidden/>
    <w:qFormat/>
    <w:rPr>
      <w:sz w:val="20"/>
      <w:szCs w:val="20"/>
    </w:rPr>
  </w:style>
  <w:style w:type="character" w:customStyle="1" w:styleId="afd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Pr>
      <w:vertAlign w:val="superscript"/>
    </w:rPr>
  </w:style>
  <w:style w:type="character" w:customStyle="1" w:styleId="afe">
    <w:name w:val="Символ нумерации"/>
    <w:qFormat/>
    <w:rPr>
      <w:rFonts w:ascii="Times New Roman" w:hAnsi="Times New Roman"/>
      <w:sz w:val="28"/>
      <w:szCs w:val="28"/>
    </w:rPr>
  </w:style>
  <w:style w:type="paragraph" w:customStyle="1" w:styleId="18">
    <w:name w:val="Заголовок1"/>
    <w:basedOn w:val="a"/>
    <w:next w:val="aff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f">
    <w:name w:val="Body Text"/>
    <w:basedOn w:val="a"/>
    <w:pPr>
      <w:spacing w:after="140" w:line="276" w:lineRule="auto"/>
    </w:pPr>
  </w:style>
  <w:style w:type="paragraph" w:styleId="aff0">
    <w:name w:val="List"/>
    <w:basedOn w:val="aff"/>
    <w:rPr>
      <w:rFonts w:cs="Arial"/>
    </w:rPr>
  </w:style>
  <w:style w:type="paragraph" w:customStyle="1" w:styleId="19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f1">
    <w:name w:val="index heading"/>
    <w:basedOn w:val="a"/>
    <w:qFormat/>
    <w:pPr>
      <w:suppressLineNumbers/>
    </w:pPr>
    <w:rPr>
      <w:rFonts w:cs="Arial"/>
    </w:rPr>
  </w:style>
  <w:style w:type="paragraph" w:styleId="a4">
    <w:name w:val="Title"/>
    <w:basedOn w:val="a"/>
    <w:next w:val="aff"/>
    <w:link w:val="a3"/>
    <w:qFormat/>
    <w:pPr>
      <w:jc w:val="center"/>
    </w:pPr>
    <w:rPr>
      <w:sz w:val="28"/>
      <w:szCs w:val="28"/>
    </w:rPr>
  </w:style>
  <w:style w:type="paragraph" w:styleId="aff2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25">
    <w:name w:val="заголовок 2"/>
    <w:basedOn w:val="a"/>
    <w:next w:val="a"/>
    <w:qFormat/>
    <w:pPr>
      <w:keepNext/>
      <w:widowControl w:val="0"/>
      <w:spacing w:before="120"/>
      <w:jc w:val="both"/>
    </w:pPr>
    <w:rPr>
      <w:rFonts w:ascii="Albertus Extra Bold" w:hAnsi="Albertus Extra Bold"/>
      <w:b/>
      <w:sz w:val="38"/>
    </w:rPr>
  </w:style>
  <w:style w:type="paragraph" w:styleId="aff3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sPlusTitle">
    <w:name w:val="ConsPlusTitle"/>
    <w:qFormat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Normal">
    <w:name w:val="ConsPlusNormal"/>
    <w:qFormat/>
    <w:pPr>
      <w:widowControl w:val="0"/>
    </w:pPr>
    <w:rPr>
      <w:rFonts w:eastAsia="Times New Roman" w:cs="Calibri"/>
      <w:szCs w:val="20"/>
      <w:lang w:eastAsia="ru-RU"/>
    </w:rPr>
  </w:style>
  <w:style w:type="paragraph" w:styleId="aff4">
    <w:name w:val="No Spacing"/>
    <w:uiPriority w:val="1"/>
    <w:qFormat/>
  </w:style>
  <w:style w:type="paragraph" w:customStyle="1" w:styleId="aff5">
    <w:name w:val="Верхний и нижний колонтитулы"/>
    <w:basedOn w:val="a"/>
    <w:qFormat/>
  </w:style>
  <w:style w:type="paragraph" w:customStyle="1" w:styleId="1a">
    <w:name w:val="Верхний колонтитул1"/>
    <w:basedOn w:val="a"/>
    <w:uiPriority w:val="99"/>
    <w:unhideWhenUsed/>
    <w:pPr>
      <w:tabs>
        <w:tab w:val="center" w:pos="4677"/>
        <w:tab w:val="right" w:pos="9355"/>
      </w:tabs>
    </w:pPr>
  </w:style>
  <w:style w:type="paragraph" w:customStyle="1" w:styleId="1b">
    <w:name w:val="Нижний колонтитул1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f6">
    <w:name w:val="List Paragraph"/>
    <w:basedOn w:val="a"/>
    <w:uiPriority w:val="34"/>
    <w:qFormat/>
    <w:pPr>
      <w:spacing w:before="240" w:line="360" w:lineRule="auto"/>
      <w:ind w:left="720" w:firstLine="709"/>
      <w:contextualSpacing/>
      <w:jc w:val="both"/>
    </w:pPr>
    <w:rPr>
      <w:rFonts w:eastAsia="Calibri"/>
      <w:sz w:val="28"/>
      <w:szCs w:val="28"/>
      <w:lang w:eastAsia="en-US"/>
    </w:rPr>
  </w:style>
  <w:style w:type="paragraph" w:customStyle="1" w:styleId="Default">
    <w:name w:val="Default"/>
    <w:qFormat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c">
    <w:name w:val="Заголовок1"/>
    <w:basedOn w:val="a"/>
    <w:qFormat/>
    <w:pPr>
      <w:spacing w:line="276" w:lineRule="auto"/>
    </w:pPr>
    <w:rPr>
      <w:rFonts w:ascii="Verdana" w:eastAsiaTheme="minorEastAsia" w:hAnsi="Verdana" w:cstheme="minorBidi"/>
      <w:b/>
      <w:sz w:val="28"/>
      <w:szCs w:val="28"/>
    </w:rPr>
  </w:style>
  <w:style w:type="paragraph" w:customStyle="1" w:styleId="aff7">
    <w:name w:val="дата место"/>
    <w:basedOn w:val="a"/>
    <w:qFormat/>
    <w:pPr>
      <w:spacing w:line="276" w:lineRule="auto"/>
    </w:pPr>
    <w:rPr>
      <w:rFonts w:ascii="Verdana" w:eastAsiaTheme="minorEastAsia" w:hAnsi="Verdana" w:cstheme="minorBidi"/>
      <w:b/>
      <w:sz w:val="24"/>
      <w:szCs w:val="24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ConsPlusCell">
    <w:name w:val="ConsPlusCell"/>
    <w:qFormat/>
    <w:rPr>
      <w:rFonts w:ascii="Times New Roman" w:hAnsi="Times New Roman" w:cs="Times New Roman"/>
      <w:szCs w:val="20"/>
      <w:lang w:eastAsia="ru-RU"/>
    </w:rPr>
  </w:style>
  <w:style w:type="paragraph" w:styleId="aff8">
    <w:name w:val="annotation text"/>
    <w:basedOn w:val="a"/>
    <w:uiPriority w:val="99"/>
    <w:unhideWhenUsed/>
    <w:qFormat/>
    <w:pPr>
      <w:spacing w:after="200" w:line="276" w:lineRule="auto"/>
    </w:pPr>
    <w:rPr>
      <w:rFonts w:eastAsia="Calibri"/>
      <w:lang w:eastAsia="en-US"/>
    </w:rPr>
  </w:style>
  <w:style w:type="paragraph" w:styleId="aff9">
    <w:name w:val="annotation subject"/>
    <w:basedOn w:val="aff8"/>
    <w:next w:val="aff8"/>
    <w:uiPriority w:val="99"/>
    <w:semiHidden/>
    <w:unhideWhenUsed/>
    <w:qFormat/>
    <w:rPr>
      <w:b/>
      <w:bCs/>
    </w:rPr>
  </w:style>
  <w:style w:type="paragraph" w:styleId="affa">
    <w:name w:val="Body Text Indent"/>
    <w:basedOn w:val="a"/>
    <w:pPr>
      <w:ind w:firstLine="708"/>
      <w:jc w:val="both"/>
    </w:pPr>
    <w:rPr>
      <w:sz w:val="26"/>
      <w:szCs w:val="24"/>
    </w:rPr>
  </w:style>
  <w:style w:type="paragraph" w:customStyle="1" w:styleId="assignment6">
    <w:name w:val="assignment_6"/>
    <w:basedOn w:val="a"/>
    <w:qFormat/>
    <w:pPr>
      <w:spacing w:beforeAutospacing="1" w:afterAutospacing="1"/>
    </w:pPr>
    <w:rPr>
      <w:sz w:val="24"/>
      <w:szCs w:val="24"/>
    </w:rPr>
  </w:style>
  <w:style w:type="paragraph" w:styleId="affb">
    <w:name w:val="Normal (Web)"/>
    <w:basedOn w:val="a"/>
    <w:uiPriority w:val="99"/>
    <w:semiHidden/>
    <w:unhideWhenUsed/>
    <w:qFormat/>
    <w:pPr>
      <w:spacing w:beforeAutospacing="1" w:afterAutospacing="1"/>
    </w:pPr>
    <w:rPr>
      <w:sz w:val="24"/>
      <w:szCs w:val="24"/>
    </w:rPr>
  </w:style>
  <w:style w:type="paragraph" w:customStyle="1" w:styleId="1d">
    <w:name w:val="Текст сноски1"/>
    <w:basedOn w:val="a"/>
    <w:uiPriority w:val="99"/>
    <w:semiHidden/>
    <w:unhideWhenUsed/>
    <w:rPr>
      <w:rFonts w:asciiTheme="minorHAnsi" w:eastAsiaTheme="minorHAnsi" w:hAnsiTheme="minorHAnsi" w:cstheme="minorBidi"/>
      <w:lang w:eastAsia="en-US"/>
    </w:rPr>
  </w:style>
  <w:style w:type="paragraph" w:customStyle="1" w:styleId="ConsPlusDocList">
    <w:name w:val="ConsPlusDocList"/>
    <w:qFormat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szCs w:val="20"/>
      <w:lang w:eastAsia="ru-RU"/>
    </w:rPr>
  </w:style>
  <w:style w:type="paragraph" w:customStyle="1" w:styleId="ConsPlusJurTerm">
    <w:name w:val="ConsPlusJurTerm"/>
    <w:qFormat/>
    <w:pPr>
      <w:widowControl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qFormat/>
    <w:pPr>
      <w:widowControl w:val="0"/>
    </w:pPr>
    <w:rPr>
      <w:rFonts w:ascii="Arial" w:eastAsia="Times New Roman" w:hAnsi="Arial" w:cs="Arial"/>
      <w:szCs w:val="20"/>
      <w:lang w:eastAsia="ru-RU"/>
    </w:rPr>
  </w:style>
  <w:style w:type="paragraph" w:customStyle="1" w:styleId="affc">
    <w:name w:val="Содержимое таблицы"/>
    <w:basedOn w:val="a"/>
    <w:qFormat/>
    <w:pPr>
      <w:suppressLineNumbers/>
    </w:pPr>
  </w:style>
  <w:style w:type="paragraph" w:customStyle="1" w:styleId="affd">
    <w:name w:val="Заголовок таблицы"/>
    <w:basedOn w:val="affc"/>
    <w:qFormat/>
    <w:pPr>
      <w:jc w:val="center"/>
    </w:pPr>
    <w:rPr>
      <w:b/>
      <w:bCs/>
    </w:rPr>
  </w:style>
  <w:style w:type="table" w:styleId="affe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E2DCF-6B9C-473C-91B6-25B650338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Службы контроля ХМАО - Югры от 25.03.2014 N 9-нп"Об утверждении Порядка проведения проверок при осуществлении внутреннего финансового контроля, ведомственного контроля в сфере закупок для обеспечения государственных нужд, контроля за деятельностью </vt:lpstr>
    </vt:vector>
  </TitlesOfParts>
  <Company>КонсультантПлюс Версия 4017.00.99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Службы контроля ХМАО - Югры от 25.03.2014 N 9-нп"Об утверждении Порядка проведения проверок при осуществлении внутреннего финансового контроля, ведомственного контроля в сфере закупок для обеспечения государственных нужд, контроля за деятельностью государственных учреждений Ханты-Мансийского автономного округа - Югры, в форме последующего контроля, аудиторских проверок при осуществлении внутреннего финансового аудита"</dc:title>
  <dc:subject>Приказ неОДУ КМНС</dc:subject>
  <dc:creator>SlepokurovAV@admhmao.ru</dc:creator>
  <dc:description/>
  <cp:lastModifiedBy>Слепокуров Аким Валерьевич</cp:lastModifiedBy>
  <cp:revision>4</cp:revision>
  <dcterms:created xsi:type="dcterms:W3CDTF">2023-12-14T17:04:00Z</dcterms:created>
  <dcterms:modified xsi:type="dcterms:W3CDTF">2023-12-15T10:10:00Z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КонсультантПлюс Версия 4017.00.99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